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B8C69" w14:textId="77777777" w:rsidR="000A78F8" w:rsidRDefault="000A78F8">
      <w:pPr>
        <w:tabs>
          <w:tab w:val="left" w:pos="1603"/>
        </w:tabs>
        <w:rPr>
          <w:b/>
          <w:bCs/>
          <w:lang w:val="en-GB"/>
        </w:rPr>
      </w:pPr>
    </w:p>
    <w:p w14:paraId="6B8B8C6A" w14:textId="77777777" w:rsidR="000A78F8" w:rsidRDefault="00F13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03"/>
        </w:tabs>
        <w:rPr>
          <w:b/>
          <w:bCs/>
          <w:lang w:val="en-GB"/>
        </w:rPr>
      </w:pPr>
      <w:r>
        <w:rPr>
          <w:b/>
          <w:bCs/>
          <w:lang w:val="en-GB"/>
        </w:rPr>
        <w:t xml:space="preserve">Solutions for the </w:t>
      </w:r>
      <w:proofErr w:type="gramStart"/>
      <w:r>
        <w:rPr>
          <w:b/>
          <w:bCs/>
          <w:lang w:val="en-GB"/>
        </w:rPr>
        <w:t>multiple choice</w:t>
      </w:r>
      <w:proofErr w:type="gramEnd"/>
      <w:r>
        <w:rPr>
          <w:b/>
          <w:bCs/>
          <w:lang w:val="en-GB"/>
        </w:rPr>
        <w:t xml:space="preserve"> quiz: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0A78F8" w14:paraId="6B8B8C6D" w14:textId="77777777">
        <w:tc>
          <w:tcPr>
            <w:tcW w:w="1555" w:type="dxa"/>
          </w:tcPr>
          <w:p w14:paraId="6B8B8C6B" w14:textId="77777777" w:rsidR="000A78F8" w:rsidRDefault="00F13B06">
            <w:pPr>
              <w:tabs>
                <w:tab w:val="left" w:pos="1603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Question No.</w:t>
            </w:r>
          </w:p>
        </w:tc>
        <w:tc>
          <w:tcPr>
            <w:tcW w:w="7507" w:type="dxa"/>
          </w:tcPr>
          <w:p w14:paraId="6B8B8C6C" w14:textId="77777777" w:rsidR="000A78F8" w:rsidRDefault="00F13B06">
            <w:pPr>
              <w:tabs>
                <w:tab w:val="left" w:pos="1603"/>
              </w:tabs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Solution</w:t>
            </w:r>
          </w:p>
        </w:tc>
      </w:tr>
      <w:tr w:rsidR="000A78F8" w14:paraId="6B8B8C70" w14:textId="77777777">
        <w:tc>
          <w:tcPr>
            <w:tcW w:w="1555" w:type="dxa"/>
          </w:tcPr>
          <w:p w14:paraId="6B8B8C6E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1.</w:t>
            </w:r>
          </w:p>
        </w:tc>
        <w:tc>
          <w:tcPr>
            <w:tcW w:w="7507" w:type="dxa"/>
          </w:tcPr>
          <w:p w14:paraId="6B8B8C6F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a) They were round and roofless over the courtyard.</w:t>
            </w:r>
          </w:p>
        </w:tc>
      </w:tr>
      <w:tr w:rsidR="000A78F8" w14:paraId="6B8B8C73" w14:textId="77777777">
        <w:tc>
          <w:tcPr>
            <w:tcW w:w="1555" w:type="dxa"/>
          </w:tcPr>
          <w:p w14:paraId="6B8B8C71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2.</w:t>
            </w:r>
          </w:p>
        </w:tc>
        <w:tc>
          <w:tcPr>
            <w:tcW w:w="7507" w:type="dxa"/>
          </w:tcPr>
          <w:p w14:paraId="6B8B8C72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They offered seating for wealthier audience members.</w:t>
            </w:r>
          </w:p>
        </w:tc>
      </w:tr>
      <w:tr w:rsidR="000A78F8" w14:paraId="6B8B8C76" w14:textId="77777777">
        <w:tc>
          <w:tcPr>
            <w:tcW w:w="1555" w:type="dxa"/>
          </w:tcPr>
          <w:p w14:paraId="6B8B8C74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3.</w:t>
            </w:r>
          </w:p>
        </w:tc>
        <w:tc>
          <w:tcPr>
            <w:tcW w:w="7507" w:type="dxa"/>
          </w:tcPr>
          <w:p w14:paraId="6B8B8C75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a) The musician’s gallery was used for musicians to play music during the play, but sometimes actors also used the musicians’ gallery.</w:t>
            </w:r>
          </w:p>
        </w:tc>
      </w:tr>
      <w:tr w:rsidR="000A78F8" w14:paraId="6B8B8C79" w14:textId="77777777">
        <w:tc>
          <w:tcPr>
            <w:tcW w:w="1555" w:type="dxa"/>
          </w:tcPr>
          <w:p w14:paraId="6B8B8C77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4.</w:t>
            </w:r>
          </w:p>
        </w:tc>
        <w:tc>
          <w:tcPr>
            <w:tcW w:w="7507" w:type="dxa"/>
          </w:tcPr>
          <w:p w14:paraId="6B8B8C78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c) The musicians’ gallery was located below the stage where the play was performed.</w:t>
            </w:r>
          </w:p>
        </w:tc>
      </w:tr>
      <w:tr w:rsidR="000A78F8" w14:paraId="6B8B8C7C" w14:textId="77777777">
        <w:tc>
          <w:tcPr>
            <w:tcW w:w="1555" w:type="dxa"/>
          </w:tcPr>
          <w:p w14:paraId="6B8B8C7A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5.</w:t>
            </w:r>
          </w:p>
        </w:tc>
        <w:tc>
          <w:tcPr>
            <w:tcW w:w="7507" w:type="dxa"/>
          </w:tcPr>
          <w:p w14:paraId="6B8B8C7B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It would block the audience’s view.</w:t>
            </w:r>
          </w:p>
        </w:tc>
      </w:tr>
      <w:tr w:rsidR="000A78F8" w14:paraId="6B8B8C7F" w14:textId="77777777">
        <w:tc>
          <w:tcPr>
            <w:tcW w:w="1555" w:type="dxa"/>
          </w:tcPr>
          <w:p w14:paraId="6B8B8C7D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6.</w:t>
            </w:r>
          </w:p>
        </w:tc>
        <w:tc>
          <w:tcPr>
            <w:tcW w:w="7507" w:type="dxa"/>
          </w:tcPr>
          <w:p w14:paraId="6B8B8C7E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b) By including descriptive lines in the dialogue</w:t>
            </w:r>
          </w:p>
        </w:tc>
      </w:tr>
      <w:tr w:rsidR="000A78F8" w14:paraId="6B8B8C82" w14:textId="77777777">
        <w:tc>
          <w:tcPr>
            <w:tcW w:w="1555" w:type="dxa"/>
          </w:tcPr>
          <w:p w14:paraId="6B8B8C80" w14:textId="77777777" w:rsidR="000A78F8" w:rsidRDefault="00F13B06">
            <w:pPr>
              <w:tabs>
                <w:tab w:val="left" w:pos="1603"/>
              </w:tabs>
              <w:rPr>
                <w:lang w:val="en-GB"/>
              </w:rPr>
            </w:pPr>
            <w:r>
              <w:rPr>
                <w:lang w:val="en-GB"/>
              </w:rPr>
              <w:t>7.</w:t>
            </w:r>
          </w:p>
        </w:tc>
        <w:tc>
          <w:tcPr>
            <w:tcW w:w="7507" w:type="dxa"/>
          </w:tcPr>
          <w:p w14:paraId="6B8B8C81" w14:textId="77777777" w:rsidR="000A78F8" w:rsidRDefault="00F13B06">
            <w:pPr>
              <w:spacing w:line="259" w:lineRule="auto"/>
              <w:rPr>
                <w:lang w:val="en-GB"/>
              </w:rPr>
            </w:pPr>
            <w:r>
              <w:rPr>
                <w:lang w:val="en-GB"/>
              </w:rPr>
              <w:t>a) To help them remember their props and actions</w:t>
            </w:r>
          </w:p>
        </w:tc>
      </w:tr>
    </w:tbl>
    <w:p w14:paraId="6B8B8C83" w14:textId="77777777" w:rsidR="000A78F8" w:rsidRDefault="000A78F8">
      <w:pPr>
        <w:tabs>
          <w:tab w:val="left" w:pos="1603"/>
        </w:tabs>
        <w:rPr>
          <w:lang w:val="en-GB"/>
        </w:rPr>
      </w:pPr>
    </w:p>
    <w:p w14:paraId="6B8B8C86" w14:textId="3D7055AD" w:rsidR="000A78F8" w:rsidRDefault="00F13B06" w:rsidP="001E7D02">
      <w:pPr>
        <w:tabs>
          <w:tab w:val="left" w:pos="1603"/>
        </w:tabs>
        <w:rPr>
          <w:lang w:val="en-GB"/>
        </w:rPr>
      </w:pPr>
      <w:r>
        <w:rPr>
          <w:lang w:val="en-GB"/>
        </w:rPr>
        <w:tab/>
      </w:r>
    </w:p>
    <w:p w14:paraId="6B8B8C87" w14:textId="7DDDDF18" w:rsidR="000A78F8" w:rsidRDefault="000A78F8" w:rsidP="001E7D02">
      <w:pPr>
        <w:rPr>
          <w:lang w:val="en-GB"/>
        </w:rPr>
      </w:pPr>
    </w:p>
    <w:sectPr w:rsidR="000A78F8">
      <w:footerReference w:type="default" r:id="rId8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B8CAE" w14:textId="77777777" w:rsidR="000A78F8" w:rsidRDefault="00F13B06">
      <w:pPr>
        <w:spacing w:after="0" w:line="240" w:lineRule="auto"/>
      </w:pPr>
      <w:r>
        <w:separator/>
      </w:r>
    </w:p>
  </w:endnote>
  <w:endnote w:type="continuationSeparator" w:id="0">
    <w:p w14:paraId="6B8B8CAF" w14:textId="77777777" w:rsidR="000A78F8" w:rsidRDefault="00F1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332A" w14:textId="233F7776" w:rsidR="004661B6" w:rsidRDefault="004661B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6B4FB" wp14:editId="28037352">
              <wp:simplePos x="0" y="0"/>
              <wp:positionH relativeFrom="column">
                <wp:posOffset>431067</wp:posOffset>
              </wp:positionH>
              <wp:positionV relativeFrom="paragraph">
                <wp:posOffset>-16852</wp:posOffset>
              </wp:positionV>
              <wp:extent cx="4047066" cy="330200"/>
              <wp:effectExtent l="0" t="0" r="444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7066" cy="330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13267D7" w14:textId="7511CEC5" w:rsidR="004661B6" w:rsidRPr="00273185" w:rsidRDefault="004661B6" w:rsidP="004661B6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V. A.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licensed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under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a Creative Commons Attribution 4.0 International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6B4FB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3.95pt;margin-top:-1.35pt;width:318.6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" fillcolor="white [3201]" stroked="f" strokeweight=".5pt">
              <v:textbox>
                <w:txbxContent>
                  <w:p w14:paraId="013267D7" w14:textId="7511CEC5" w:rsidR="004661B6" w:rsidRPr="00273185" w:rsidRDefault="004661B6" w:rsidP="004661B6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V. A.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licensed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under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a Creative Commons Attribution 4.0 International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8EF8F82" wp14:editId="4961563A">
          <wp:simplePos x="0" y="0"/>
          <wp:positionH relativeFrom="column">
            <wp:posOffset>-215900</wp:posOffset>
          </wp:positionH>
          <wp:positionV relativeFrom="paragraph">
            <wp:posOffset>50165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B8CAC" w14:textId="77777777" w:rsidR="000A78F8" w:rsidRDefault="00F13B06">
      <w:pPr>
        <w:spacing w:after="0" w:line="240" w:lineRule="auto"/>
      </w:pPr>
      <w:r>
        <w:separator/>
      </w:r>
    </w:p>
  </w:footnote>
  <w:footnote w:type="continuationSeparator" w:id="0">
    <w:p w14:paraId="6B8B8CAD" w14:textId="77777777" w:rsidR="000A78F8" w:rsidRDefault="00F13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7E6A"/>
    <w:multiLevelType w:val="multilevel"/>
    <w:tmpl w:val="D7F2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94497"/>
    <w:multiLevelType w:val="multilevel"/>
    <w:tmpl w:val="1B6A0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42FDF"/>
    <w:multiLevelType w:val="multilevel"/>
    <w:tmpl w:val="59E8A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253576"/>
    <w:multiLevelType w:val="multilevel"/>
    <w:tmpl w:val="3F1EC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2E7C75"/>
    <w:multiLevelType w:val="multilevel"/>
    <w:tmpl w:val="E71CD0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492723"/>
    <w:multiLevelType w:val="multilevel"/>
    <w:tmpl w:val="59464E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355D0E"/>
    <w:multiLevelType w:val="multilevel"/>
    <w:tmpl w:val="4E80EA5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A0227"/>
    <w:multiLevelType w:val="multilevel"/>
    <w:tmpl w:val="7F02ED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E65D9E"/>
    <w:multiLevelType w:val="multilevel"/>
    <w:tmpl w:val="9A24E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0F2F9A"/>
    <w:multiLevelType w:val="multilevel"/>
    <w:tmpl w:val="C8C02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DB7BDE"/>
    <w:multiLevelType w:val="multilevel"/>
    <w:tmpl w:val="9E6AC9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9B0FE3"/>
    <w:multiLevelType w:val="multilevel"/>
    <w:tmpl w:val="355C65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1905F6"/>
    <w:multiLevelType w:val="multilevel"/>
    <w:tmpl w:val="C57E23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4C2BE4"/>
    <w:multiLevelType w:val="multilevel"/>
    <w:tmpl w:val="0F7EBC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72719"/>
    <w:multiLevelType w:val="multilevel"/>
    <w:tmpl w:val="4FC48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85295D"/>
    <w:multiLevelType w:val="multilevel"/>
    <w:tmpl w:val="24B45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6A0696"/>
    <w:multiLevelType w:val="multilevel"/>
    <w:tmpl w:val="C8A04B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8303A5"/>
    <w:multiLevelType w:val="multilevel"/>
    <w:tmpl w:val="0B08A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8650955">
    <w:abstractNumId w:val="2"/>
  </w:num>
  <w:num w:numId="2" w16cid:durableId="374816403">
    <w:abstractNumId w:val="9"/>
  </w:num>
  <w:num w:numId="3" w16cid:durableId="833761079">
    <w:abstractNumId w:val="8"/>
  </w:num>
  <w:num w:numId="4" w16cid:durableId="466094335">
    <w:abstractNumId w:val="14"/>
  </w:num>
  <w:num w:numId="5" w16cid:durableId="478496539">
    <w:abstractNumId w:val="17"/>
  </w:num>
  <w:num w:numId="6" w16cid:durableId="573584832">
    <w:abstractNumId w:val="7"/>
  </w:num>
  <w:num w:numId="7" w16cid:durableId="1683121580">
    <w:abstractNumId w:val="4"/>
  </w:num>
  <w:num w:numId="8" w16cid:durableId="31351122">
    <w:abstractNumId w:val="0"/>
  </w:num>
  <w:num w:numId="9" w16cid:durableId="837310114">
    <w:abstractNumId w:val="15"/>
  </w:num>
  <w:num w:numId="10" w16cid:durableId="2018460702">
    <w:abstractNumId w:val="13"/>
  </w:num>
  <w:num w:numId="11" w16cid:durableId="264772521">
    <w:abstractNumId w:val="16"/>
  </w:num>
  <w:num w:numId="12" w16cid:durableId="850143173">
    <w:abstractNumId w:val="10"/>
  </w:num>
  <w:num w:numId="13" w16cid:durableId="1239559050">
    <w:abstractNumId w:val="12"/>
  </w:num>
  <w:num w:numId="14" w16cid:durableId="1831940051">
    <w:abstractNumId w:val="5"/>
  </w:num>
  <w:num w:numId="15" w16cid:durableId="188569158">
    <w:abstractNumId w:val="3"/>
  </w:num>
  <w:num w:numId="16" w16cid:durableId="1520896016">
    <w:abstractNumId w:val="11"/>
  </w:num>
  <w:num w:numId="17" w16cid:durableId="665279648">
    <w:abstractNumId w:val="6"/>
  </w:num>
  <w:num w:numId="18" w16cid:durableId="12774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F8"/>
    <w:rsid w:val="00045E59"/>
    <w:rsid w:val="000A78F8"/>
    <w:rsid w:val="001E7D02"/>
    <w:rsid w:val="00342B7B"/>
    <w:rsid w:val="004661B6"/>
    <w:rsid w:val="00F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B8BFB"/>
  <w15:docId w15:val="{190D80C4-FA51-5247-8C5D-39D2558C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bsatz-Standardschriftart"/>
    <w:rsid w:val="004661B6"/>
  </w:style>
  <w:style w:type="character" w:customStyle="1" w:styleId="jsgrdq">
    <w:name w:val="jsgrdq"/>
    <w:basedOn w:val="Absatz-Standardschriftart"/>
    <w:rsid w:val="0046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6E50-8160-46A9-AEA7-F189570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486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aloiva tullia</dc:creator>
  <cp:keywords/>
  <dc:description/>
  <cp:lastModifiedBy>Lisa Sofia Schnabel</cp:lastModifiedBy>
  <cp:revision>3</cp:revision>
  <cp:lastPrinted>2025-07-31T10:05:00Z</cp:lastPrinted>
  <dcterms:created xsi:type="dcterms:W3CDTF">2025-07-10T09:56:00Z</dcterms:created>
  <dcterms:modified xsi:type="dcterms:W3CDTF">2025-07-31T10:05:00Z</dcterms:modified>
</cp:coreProperties>
</file>